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799B64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1"/>
        <w:tblW w:w="0" w:type="auto"/>
        <w:tblLayout w:type="autofit"/>
        <w:tblLook w:val="04A0"/>
      </w:tblPr>
      <w:tblGrid/>
      <w:tr>
        <w:trPr>
          <w:gridAfter w:val="1"/>
          <w:wAfter w:w="4497" w:type="dxa"/>
        </w:trPr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0" w:name="_dx_frag_StartFragment"/>
            <w:bookmarkEnd w:id="0"/>
            <w:r>
              <w:rPr>
                <w:rFonts w:ascii="Calibri" w:hAnsi="Calibri"/>
                <w:b w:val="1"/>
                <w:i w:val="0"/>
                <w:color w:val="000000"/>
                <w:sz w:val="24"/>
                <w:shd w:val="clear" w:fill="FFFFFF"/>
              </w:rPr>
              <w:t>Наименование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1" w:name="_dx_frag_StartFragment"/>
            <w:bookmarkEnd w:id="1"/>
            <w:r>
              <w:rPr>
                <w:rFonts w:ascii="Calibri" w:hAnsi="Calibri"/>
                <w:b w:val="1"/>
                <w:i w:val="0"/>
                <w:color w:val="000000"/>
                <w:sz w:val="24"/>
                <w:shd w:val="clear" w:fill="FFFFFF"/>
              </w:rPr>
              <w:t>Обозначение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  <w:tr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2" w:name="_dx_frag_StartFragment"/>
            <w:bookmarkEnd w:id="2"/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3" w:name="_dx_frag_StartFragment"/>
            <w:bookmarkEnd w:id="3"/>
            <w:r>
              <w:rPr>
                <w:rFonts w:ascii="Calibri" w:hAnsi="Calibri"/>
                <w:b w:val="1"/>
                <w:i w:val="0"/>
                <w:color w:val="000000"/>
                <w:sz w:val="24"/>
                <w:shd w:val="clear" w:fill="FFFFFF"/>
              </w:rPr>
              <w:t>ЗХБ 15.00.00.000А/-01/-02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4" w:name="_dx_frag_StartFragment"/>
            <w:bookmarkEnd w:id="4"/>
            <w:r>
              <w:rPr>
                <w:rFonts w:ascii="Calibri" w:hAnsi="Calibri"/>
                <w:b w:val="1"/>
                <w:i w:val="0"/>
                <w:color w:val="000000"/>
                <w:sz w:val="24"/>
                <w:shd w:val="clear" w:fill="FFFFFF"/>
              </w:rPr>
              <w:t>ЗХБ 20.12.00.000</w:t>
            </w:r>
          </w:p>
        </w:tc>
      </w:tr>
      <w:tr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5" w:name="_dx_frag_StartFragment"/>
            <w:bookmarkEnd w:id="5"/>
            <w:bookmarkStart w:id="6" w:name="_dx_frag_StartFragment"/>
            <w:bookmarkEnd w:id="6"/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муфт , мм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7" w:name="_dx_frag_StartFragment"/>
            <w:bookmarkEnd w:id="7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65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8" w:name="_dx_frag_StartFragment"/>
            <w:bookmarkEnd w:id="8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65</w:t>
            </w:r>
          </w:p>
        </w:tc>
      </w:tr>
      <w:tr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9" w:name="_dx_frag_StartFragment"/>
            <w:bookmarkEnd w:id="9"/>
            <w:bookmarkStart w:id="10" w:name="_dx_frag_StartFragment"/>
            <w:bookmarkEnd w:id="10"/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проходного канала, мм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11" w:name="_dx_frag_StartFragment"/>
            <w:bookmarkEnd w:id="11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44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12" w:name="_dx_frag_StartFragment"/>
            <w:bookmarkEnd w:id="12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44</w:t>
            </w:r>
          </w:p>
        </w:tc>
      </w:tr>
      <w:tr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13" w:name="_dx_frag_StartFragment"/>
            <w:bookmarkEnd w:id="13"/>
            <w:bookmarkStart w:id="14" w:name="_dx_frag_StartFragment"/>
            <w:bookmarkEnd w:id="14"/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Длина, мм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15" w:name="_dx_frag_StartFragment"/>
            <w:bookmarkEnd w:id="15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1140/ 2940/ 1450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16" w:name="_dx_frag_StartFragment"/>
            <w:bookmarkEnd w:id="16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761</w:t>
            </w:r>
          </w:p>
        </w:tc>
      </w:tr>
      <w:tr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17" w:name="_dx_frag_StartFragment"/>
            <w:bookmarkEnd w:id="17"/>
            <w:bookmarkStart w:id="18" w:name="_dx_frag_StartFragment"/>
            <w:bookmarkEnd w:id="18"/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Присоединительная резьба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19" w:name="_dx_frag_StartFragment"/>
            <w:bookmarkEnd w:id="19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В-48 ГОСТ 633-80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20" w:name="_dx_frag_StartFragment"/>
            <w:bookmarkEnd w:id="20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В-48 ГОСТ 633-80</w:t>
            </w:r>
          </w:p>
        </w:tc>
      </w:tr>
      <w:tr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21" w:name="_dx_frag_StartFragment"/>
            <w:bookmarkEnd w:id="21"/>
            <w:bookmarkStart w:id="22" w:name="_dx_frag_StartFragment"/>
            <w:bookmarkEnd w:id="22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Масса, кг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7,8</w:t>
            </w:r>
          </w:p>
        </w:tc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6,5</w:t>
            </w:r>
          </w:p>
        </w:tc>
      </w:tr>
      <w:tr>
        <w:tc>
          <w:tcPr>
            <w:tcW w:w="0" w:type="auto"/>
          </w:tcPr>
          <w:p>
            <w:pPr>
              <w:rPr>
                <w:rFonts w:ascii="Calibri" w:hAnsi="Calibri"/>
                <w:sz w:val="24"/>
              </w:rPr>
            </w:pPr>
            <w:bookmarkStart w:id="23" w:name="_dx_frag_StartFragment"/>
            <w:bookmarkEnd w:id="23"/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Максимальная рабочая температура, К (°С)</w:t>
            </w:r>
          </w:p>
        </w:tc>
        <w:tc>
          <w:tcPr>
            <w:tcW w:w="0" w:type="auto"/>
            <w:gridSpan w:val="2"/>
          </w:tcPr>
          <w:p>
            <w:pPr>
              <w:jc w:val="center"/>
              <w:rPr>
                <w:rFonts w:ascii="Calibri" w:hAnsi="Calibri"/>
                <w:sz w:val="24"/>
              </w:rPr>
            </w:pPr>
            <w:bookmarkStart w:id="24" w:name="_dx_frag_StartFragment"/>
            <w:bookmarkEnd w:id="24"/>
            <w:r>
              <w:rPr>
                <w:rFonts w:ascii="Calibri" w:hAnsi="Calibri"/>
                <w:b w:val="0"/>
                <w:i w:val="0"/>
                <w:color w:val="000000"/>
                <w:sz w:val="24"/>
                <w:shd w:val="clear" w:fill="FFFFFF"/>
              </w:rPr>
              <w:t>373 (100)</w:t>
            </w:r>
            <w:r>
              <w:rPr>
                <w:rFonts w:ascii="Calibri" w:hAnsi="Calibri"/>
                <w:sz w:val="24"/>
              </w:rPr>
              <w:t xml:space="preserve"> </w:t>
            </w:r>
          </w:p>
        </w:tc>
      </w:tr>
    </w:tbl>
    <w:p>
      <w:pPr>
        <w:rPr>
          <w:rFonts w:ascii="Calibri" w:hAnsi="Calibri"/>
          <w:sz w:val="24"/>
        </w:rPr>
      </w:pPr>
    </w:p>
    <w:tbl>
      <w:tblPr>
        <w:tblW w:w="12086" w:type="dxa"/>
        <w:tblInd w:w="48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gridBefore w:val="0"/>
          <w:gridAfter w:val="0"/>
          <w:cantSplit/>
          <w:trHeight w:hRule="atLeast" w:val="2264"/>
        </w:trPr>
        <w:tc>
          <w:tcPr>
            <w:tcW w:w="3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Параметр</w:t>
            </w:r>
          </w:p>
        </w:tc>
        <w:tc>
          <w:tcPr>
            <w:tcW w:w="17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15.00.00.000А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20.12.00.000</w:t>
            </w:r>
          </w:p>
        </w:tc>
        <w:tc>
          <w:tcPr>
            <w:tcW w:w="18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200.00.00.006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200.00.00.006А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3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Перфорированный</w:t>
            </w:r>
          </w:p>
        </w:tc>
        <w:tc>
          <w:tcPr>
            <w:tcW w:w="17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Нет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Да</w:t>
            </w:r>
          </w:p>
        </w:tc>
        <w:tc>
          <w:tcPr>
            <w:tcW w:w="18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Нет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Нет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3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Наружный диаметр, мм</w:t>
            </w:r>
          </w:p>
        </w:tc>
        <w:tc>
          <w:tcPr>
            <w:tcW w:w="17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65</w:t>
            </w:r>
          </w:p>
        </w:tc>
        <w:tc>
          <w:tcPr>
            <w:tcW w:w="18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76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76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3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Диаметр проходного канала, мм</w:t>
            </w:r>
          </w:p>
        </w:tc>
        <w:tc>
          <w:tcPr>
            <w:tcW w:w="17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44</w:t>
            </w:r>
          </w:p>
        </w:tc>
        <w:tc>
          <w:tcPr>
            <w:tcW w:w="18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52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52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3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Длина изделия, мм</w:t>
            </w:r>
          </w:p>
        </w:tc>
        <w:tc>
          <w:tcPr>
            <w:tcW w:w="17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1203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1513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3003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761</w:t>
            </w:r>
          </w:p>
        </w:tc>
        <w:tc>
          <w:tcPr>
            <w:tcW w:w="18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675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800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1120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1200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1510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1650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3000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490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3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Присоединительная резьба: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 стороны забоя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 стороны устья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</w:p>
        </w:tc>
        <w:tc>
          <w:tcPr>
            <w:tcW w:w="17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В-48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В-48</w:t>
            </w:r>
          </w:p>
        </w:tc>
        <w:tc>
          <w:tcPr>
            <w:tcW w:w="18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В-60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В-60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3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Максимальное дифференциальное давление, выдерживаемое изделием, не менее, МПа (кгс/см²)</w:t>
            </w:r>
          </w:p>
        </w:tc>
        <w:tc>
          <w:tcPr>
            <w:tcW w:w="17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18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3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Масса, кг</w:t>
            </w:r>
          </w:p>
        </w:tc>
        <w:tc>
          <w:tcPr>
            <w:tcW w:w="17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10,0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12,4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24,61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6,5</w:t>
            </w:r>
          </w:p>
        </w:tc>
        <w:tc>
          <w:tcPr>
            <w:tcW w:w="18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11,6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13,9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19,9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21,4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27,3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29,9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55,3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7,3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37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Максимальная температура, К (°С)</w:t>
            </w:r>
          </w:p>
        </w:tc>
        <w:tc>
          <w:tcPr>
            <w:tcW w:w="17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9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8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274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</w:tr>
    </w:tbl>
    <w:p>
      <w:pPr>
        <w:rPr>
          <w:b w:val="1"/>
          <w:sz w:val="24"/>
        </w:rPr>
      </w:pPr>
    </w:p>
    <w:p>
      <w:r>
        <w:rPr>
          <w:b w:val="1"/>
          <w:sz w:val="24"/>
        </w:rPr>
        <w:t>Удлинитель</w:t>
      </w: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