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4C65D8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8730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210.01.20.000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Внутренний диаметр приемного гнезда адаптера под стингер,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Глубина приемного гнезда адаптера под стингер,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3180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4306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 Соединения с хвостовиком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 Соединение с инструментом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Сп.Tr115×6-LH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давление, выдерживаемое корпусом, МПа (кгс/см2)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уплотнительном элементе, МПа (кгс/см2)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 обсадной колонны, мм, мм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155 - 162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Давление активации якорного узла, МПа (кгс/см2)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13,0±1,0 (133±15)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Усилие активации пакера, не менее, кН (тс)</w:t>
              <w:tab/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120 (12,2)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>
        <w:trPr>
          <w:trHeight w:hRule="atLeast" w:val="360"/>
        </w:trPr>
        <w:tc>
          <w:tcPr>
            <w:tcW w:w="603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</w:tbl>
    <w:p/>
    <w:p>
      <w:pPr>
        <w:rPr>
          <w:b w:val="1"/>
          <w:sz w:val="24"/>
        </w:rPr>
      </w:pPr>
      <w:r>
        <w:rPr>
          <w:b w:val="1"/>
          <w:sz w:val="24"/>
        </w:rPr>
        <w:t>Пакер</w:t>
      </w:r>
      <w:r>
        <w:rPr>
          <w:b w:val="1"/>
          <w:sz w:val="24"/>
        </w:rPr>
        <w:t xml:space="preserve"> - подвеска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