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87191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Look w:val="04A0"/>
      </w:tblPr>
      <w:tblGrid/>
      <w:tr>
        <w:tc>
          <w:tcPr>
            <w:tcW w:w="3640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  <w:shd w:val="clear" w:fill="FFFFFF"/>
              </w:rPr>
              <w:t>Параметр</w:t>
            </w:r>
          </w:p>
        </w:tc>
        <w:tc>
          <w:tcPr>
            <w:tcW w:w="7280" w:type="dxa"/>
            <w:gridSpan w:val="2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  <w:shd w:val="clear" w:fill="FFFFFF"/>
              </w:rPr>
              <w:t>Значение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Условный диаметр потайной обсадной колонны (хвостовика), мм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102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114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муфты наружный по телу, мм, max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116</w:t>
            </w:r>
          </w:p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132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муфты внутренний после разбуривания, мм, min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Количество разрывных портов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окна разрывного порта, мм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Максимальный темп закачки, м</w:t>
            </w:r>
            <w:r>
              <w:rPr>
                <w:rFonts w:ascii="Calibri" w:hAnsi="Calibri"/>
                <w:color w:val="000000"/>
                <w:sz w:val="24"/>
                <w:shd w:val="clear" w:fill="FFFFFF"/>
                <w:vertAlign w:val="superscript"/>
              </w:rPr>
              <w:t>3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/мин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3,2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3,2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Максимально допустимая нагрузка на растяжение, тонн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кг, не более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</w:t>
            </w:r>
            <w:r>
              <w:rPr>
                <w:rFonts w:ascii="Calibri" w:hAnsi="Calibri"/>
                <w:color w:val="000000"/>
                <w:sz w:val="24"/>
                <w:shd w:val="clear" w:fill="FFFFFF"/>
                <w:vertAlign w:val="superscript"/>
              </w:rPr>
              <w:t>0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С)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373 (100)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423 (150)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 муфты, мм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450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500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Присоединительная резьба, муфта-ниппель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ОТТМ 102 ТУ 14-161-163-96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ОТТМ 114 ГОСТ 632-80</w:t>
            </w: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Абсолютное давление (внутри муфты) активации разрывных портов, МПа (кгс/см</w:t>
            </w:r>
            <w:r>
              <w:rPr>
                <w:rFonts w:ascii="Calibri" w:hAnsi="Calibri"/>
                <w:color w:val="000000"/>
                <w:sz w:val="24"/>
                <w:shd w:val="clear" w:fill="FFFFFF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): ЗХБ 100.13.00.000 ЗХБ 100.13.00.000–01 ЗХБ 100.13.00.000–02 ЗХБ 100.13.00.000–03 ЗХБ 100.13.00.000–04 ЗХБ 100.13.00.000–05 ЗХБ 100.13.00.000–06 ЗХБ 100.13.00.000–07 ЗХБ 100.13.00.000–08 ЗХБ 100.13.00.000–09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25…30 (255…306) 30…35 (306…357) 35…40 (357…408) 40…45 (408…459) 45…50 (459…510) 50…55 (510…561) 58…63 (591…642) 63…68 (642…693) 68…73 (693…744) 73…77 (744…785)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  <w:tr>
        <w:tc>
          <w:tcPr>
            <w:tcW w:w="3640" w:type="dxa"/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Абсолютное давление (внутри муфты) активации разрывных портов, МПа (кгс/см</w:t>
            </w:r>
            <w:r>
              <w:rPr>
                <w:rFonts w:ascii="Calibri" w:hAnsi="Calibri"/>
                <w:color w:val="000000"/>
                <w:sz w:val="24"/>
                <w:shd w:val="clear" w:fill="FFFFFF"/>
                <w:vertAlign w:val="superscript"/>
              </w:rPr>
              <w:t>2</w:t>
            </w: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): ЗХБ 200.03.00.000 ЗХБ 200.03.00.000–01 ЗХБ 200.03.00.000–02 ЗХБ 200.03.00.000–03 ЗХБ 200.03.00.000–04 ЗХБ 200.03.00.000–05 ЗХБ 200.03.00.000–06 ЗХБ 200.03.00.000–07 ЗХБ 200.03.00.000–08 ЗХБ 200.03.00.000–09</w:t>
            </w: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364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25…30 (255…306) 30…35 (306…357) 35…40 (357…408) 40…45 (408…459) 45…50 (459…510) 50…55 (510…561) 58…63 (591…642) 63…68 (642…693) 68…73 (693…744) 73…77 (744…785)</w:t>
            </w:r>
          </w:p>
        </w:tc>
      </w:tr>
    </w:tbl>
    <w:p>
      <w:r>
        <w:br w:type="page"/>
      </w:r>
    </w:p>
    <w:tbl>
      <w:tblPr>
        <w:tblW w:w="15393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100.13.00.000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200.03.00.000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200.26.00.000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200.74.00.000У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226.13.00.000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140.13.00.000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141.13.00.000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147.13.00.000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147.16.00.000</w:t>
            </w:r>
          </w:p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(-07)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132,1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114,30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140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139,70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146,05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дифференциальное давление выдерживаемое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муфтой, МПа (кгс/см2)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Давления открытия окон муфты, МПа (кгс/см2):</w:t>
            </w:r>
          </w:p>
          <w:p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— 30,0 (255—306)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 — 35,0 (306—357)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— 40,0 (357—408)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40,0 — 45,0 (408—459)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45,0 — 50,0 (459—510)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50,0 — 55,0 (510—561)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58,0 — 63,0 (591—642)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63,0 — 68,0 (642—693)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68,0 — 73,0 (693—744)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73,0 — 77,0 (744—785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25,0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(255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(306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(357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(408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(459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(510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58,0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(591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63,0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(642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68,0 ± 5,0 (693 ± 51)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73,0 </w:t>
            </w:r>
            <w:r>
              <w:rPr>
                <w:rFonts w:ascii="TimesNewRomanPSMT" w:hAnsi="TimesNewRomanPSMT"/>
                <w:sz w:val="16"/>
              </w:rPr>
              <w:t>+4,0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-5,0 </w:t>
            </w:r>
            <w:r>
              <w:rPr>
                <w:rFonts w:ascii="TimesNewRomanPSMT" w:hAnsi="TimesNewRomanPSMT"/>
                <w:sz w:val="24"/>
              </w:rPr>
              <w:t xml:space="preserve">(744 </w:t>
            </w:r>
            <w:r>
              <w:rPr>
                <w:rFonts w:ascii="TimesNewRomanPSMT" w:hAnsi="TimesNewRomanPSMT"/>
                <w:sz w:val="16"/>
              </w:rPr>
              <w:t>+41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-51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+5,0/-2,0 (255 +51/-20)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 +5,0/-2,0 (306 +51/-20)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+5,0/-2,0 (357 +51/-20)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40,0 +5,0/-3,0 (408 +51/-31)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45,0 +5,0/-3,0 (459 +51/-31)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50,0 +5,0/-3,0 (510 +51/-31)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55,0 +5,0/-4,0 (561 +51/-41)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60,0 +5,0/-4,0 (612 +51/-41)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65,0 +5,0/-5,0 (663 +51/-51)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30,0…35,0 (306…357)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25,0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(255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(306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(357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(408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(459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(510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58,0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(591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63,0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(642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68,0 ± 5,0 (693 ± 51)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73,0 </w:t>
            </w:r>
            <w:r>
              <w:rPr>
                <w:rFonts w:ascii="TimesNewRomanPSMT" w:hAnsi="TimesNewRomanPSMT"/>
                <w:sz w:val="16"/>
              </w:rPr>
              <w:t>+4,0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-5,0 </w:t>
            </w:r>
            <w:r>
              <w:rPr>
                <w:rFonts w:ascii="TimesNewRomanPSMT" w:hAnsi="TimesNewRomanPSMT"/>
                <w:sz w:val="24"/>
              </w:rPr>
              <w:t xml:space="preserve">(744 </w:t>
            </w:r>
            <w:r>
              <w:rPr>
                <w:rFonts w:ascii="TimesNewRomanPSMT" w:hAnsi="TimesNewRomanPSMT"/>
                <w:sz w:val="16"/>
              </w:rPr>
              <w:t>+41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-51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25,0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(255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(306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(357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(408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(459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(510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58,0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(591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63,0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(642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68,0 ± 5,0 (693 ± 51)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73,0 </w:t>
            </w:r>
            <w:r>
              <w:rPr>
                <w:rFonts w:ascii="TimesNewRomanPSMT" w:hAnsi="TimesNewRomanPSMT"/>
                <w:sz w:val="16"/>
              </w:rPr>
              <w:t>+4,0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-5,0 </w:t>
            </w:r>
            <w:r>
              <w:rPr>
                <w:rFonts w:ascii="TimesNewRomanPSMT" w:hAnsi="TimesNewRomanPSMT"/>
                <w:sz w:val="24"/>
              </w:rPr>
              <w:t xml:space="preserve">(744 </w:t>
            </w:r>
            <w:r>
              <w:rPr>
                <w:rFonts w:ascii="TimesNewRomanPSMT" w:hAnsi="TimesNewRomanPSMT"/>
                <w:sz w:val="16"/>
              </w:rPr>
              <w:t>+41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-51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25,0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(255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(306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35,0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-2,0 </w:t>
            </w:r>
            <w:r>
              <w:rPr>
                <w:rFonts w:ascii="TimesNewRomanPSMT" w:hAnsi="TimesNewRomanPSMT"/>
                <w:sz w:val="24"/>
              </w:rPr>
              <w:t xml:space="preserve">(357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-20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(408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45,0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(459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50,0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-3,0 </w:t>
            </w:r>
            <w:r>
              <w:rPr>
                <w:rFonts w:ascii="TimesNewRomanPSMT" w:hAnsi="TimesNewRomanPSMT"/>
                <w:sz w:val="24"/>
              </w:rPr>
              <w:t xml:space="preserve">(510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-31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58,0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(591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63,0 </w:t>
            </w:r>
            <w:r>
              <w:rPr>
                <w:rFonts w:ascii="TimesNewRomanPSMT" w:hAnsi="TimesNewRomanPSMT"/>
                <w:sz w:val="16"/>
              </w:rPr>
              <w:t>+5,0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-4,0 </w:t>
            </w:r>
            <w:r>
              <w:rPr>
                <w:rFonts w:ascii="TimesNewRomanPSMT" w:hAnsi="TimesNewRomanPSMT"/>
                <w:sz w:val="24"/>
              </w:rPr>
              <w:t xml:space="preserve">(642 </w:t>
            </w:r>
            <w:r>
              <w:rPr>
                <w:rFonts w:ascii="TimesNewRomanPSMT" w:hAnsi="TimesNewRomanPSMT"/>
                <w:sz w:val="16"/>
              </w:rPr>
              <w:t>+51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-41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  <w:p>
            <w:pPr>
              <w:ind w:firstLine="0" w:left="0" w:right="0"/>
              <w:jc w:val="left"/>
              <w:rPr>
                <w:rFonts w:ascii="TimesNewRomanPSMT" w:hAnsi="TimesNewRomanPSMT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68,0 ± 5,0 (693 ± 51)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 xml:space="preserve">73,0 </w:t>
            </w:r>
            <w:r>
              <w:rPr>
                <w:rFonts w:ascii="TimesNewRomanPSMT" w:hAnsi="TimesNewRomanPSMT"/>
                <w:sz w:val="16"/>
              </w:rPr>
              <w:t>+4,0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 xml:space="preserve">-5,0 </w:t>
            </w:r>
            <w:r>
              <w:rPr>
                <w:rFonts w:ascii="TimesNewRomanPSMT" w:hAnsi="TimesNewRomanPSMT"/>
                <w:sz w:val="24"/>
              </w:rPr>
              <w:t xml:space="preserve">(744 </w:t>
            </w:r>
            <w:r>
              <w:rPr>
                <w:rFonts w:ascii="TimesNewRomanPSMT" w:hAnsi="TimesNewRomanPSMT"/>
                <w:sz w:val="16"/>
              </w:rPr>
              <w:t>+41</w:t>
            </w:r>
            <w:r>
              <w:rPr>
                <w:rFonts w:ascii="TimesNewRomanPSMT" w:hAnsi="TimesNewRomanPSMT"/>
                <w:sz w:val="24"/>
              </w:rPr>
              <w:t>/</w:t>
            </w:r>
            <w:r>
              <w:rPr>
                <w:rFonts w:ascii="TimesNewRomanPSMT" w:hAnsi="TimesNewRomanPSMT"/>
                <w:sz w:val="16"/>
              </w:rPr>
              <w:t>-51</w:t>
            </w:r>
            <w:r>
              <w:rPr>
                <w:rFonts w:ascii="TimesNewRomanPSMT" w:hAnsi="TimesNewRomanPSMT"/>
                <w:sz w:val="24"/>
              </w:rPr>
              <w:t>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+5,0/-2,0 (255 +51/-20)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 +5,0/-2,0 (306 +51/-20)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+5,0/-2,0 (357 +51/-20)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40,0 +5,0/-3,0 (408 +51/-31)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45,0 +5,0/-3,0 (459 +51/-31)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50,0 +5,0/-3,0 (510 +51/-31)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55,0 +5,0/-4,0 (561 +51/-41)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60,0 +5,0/-4,0 (612 +51/-41)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Абсолютное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25,0 — 30,0 (255—306)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30,0 — 35,0 (306—357)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— 40,0 (357—408)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40,0 — 45,0 (408—459)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45,0 — 50,0 (459—510)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50,0 — 56,0 (510—571)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58,0 — 64,0 (591—653)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63,0 — 69,0 (642—704)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Монтажные патрубки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Диаметр окна, мм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окон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окон муфты, мм2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1696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1696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5376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1696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2714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2714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2651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4030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Усилие на втулку закрывающую, кН (кгс)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31,6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27,5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30,9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