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340273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0431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Параметр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200.27.00.000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226.27.00.000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Условный диаметр колонны,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Наружный диаметр,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133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Внутренний диаметр,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Длина изделия, 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1409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1172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114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ВС 114,30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Максимальный перепад давления на муфте, МПа (кгс/см2)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Группа прочности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Перепад давления открытия окон муфты, МПа (кгс/см2):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12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11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10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9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8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7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6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5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4 срезных винтов</w:t>
            </w:r>
          </w:p>
          <w:p>
            <w:pPr>
              <w:ind w:firstLine="0" w:lef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3 срезных винтов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26,2±2,5 (267±25) 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23,6±2,5 (241±25)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7,9±2,0 (81±20)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31,4±2,5 (320±25)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28,8±2,5 (294±25)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26,2±2,5 (267±25) 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23,6±2,5 (241±25)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20,9±2,5 (213±25)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18,3±2,0 (187±20)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15,7±2,0 (160±20)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7,9±2,0 (81±20)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Размер шара, дюймы (мм)/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Проходной диаметр седла, дюймы (мм):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-00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-01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-02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-03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-04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-05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-06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-07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-08</w:t>
            </w:r>
          </w:p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-09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1,25 (31,8)/ 1,032 (26,2)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1,50 (38,1)/ 1,28 (32,5)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1,75 (44,5)/ 1,532 (38,9)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2,00 (50,8)/ 1,772 (45,0)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2,25 (57,2)/ 2,02 (51,3)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2,50 (63,5)/ 2,272 (57,7)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2,75 (69,9)/ 2,52 (64,0)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3,00 (76,2)/ 2,775 (70,5)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3,25 (82,6)/ 3,032 (77,0)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3,50 (88,9)/ 3,275 (83,2)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1,25 (31,8)/ 1,032 (26,2)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1,50 (38,1)/ 1,28 (32,5)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1,75 (44,5)/ 1,532 (38,9)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2,00 (50,8)/ 1,772 (45,0)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2,25 (57,2)/ 2,02 (51,3)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2,50 (63,5)/ 2,272 (57,7)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2,75 (69,9)/ 2,52 (64,0)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3,00 (76,2)/ 2,775 (70,5)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3,25 (82,6)/ 3,032 (77,0)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3,50 (88,9)/ 3,275 (83,2)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Материал седла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Растворимый в скважинных условиях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Растворимый в скважинных условиях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Размеры окна,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12х80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12х80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Эквивалентный диаметр одного циркуляционного отверстия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муфты,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Количество окон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Общая площадь окон муфты, мм2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8362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8362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Максимальный темп закачки, м3/мин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4,5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Возможность повторного закрытия/открытия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Усилие на втулку закрывающую, кН (кгс)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(от 300 до 800)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(от 300 до 800)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 (10,2)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 (10,2)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</w:tr>
    </w:tbl>
    <w:p>
      <w:pPr>
        <w:ind w:firstLine="0"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  <w:r>
        <w:rPr>
          <w:rFonts w:ascii="Calibri" w:hAnsi="Calibri"/>
          <w:sz w:val="24"/>
        </w:rPr>
        <w:t>Таблица растворения седла муфты в зависимости от концентрации NaCl и температуры.</w:t>
      </w:r>
    </w:p>
    <w:tbl>
      <w:tblPr>
        <w:tblStyle w:val="T2"/>
        <w:tblW w:w="9356" w:type="dxa"/>
        <w:tblLayout w:type="fixed"/>
        <w:tblLook w:val="04A0"/>
      </w:tblPr>
      <w:tblGrid/>
      <w:tr>
        <w:trPr>
          <w:trHeight w:hRule="atLeast" w:val="406"/>
        </w:trPr>
        <w:tc>
          <w:tcPr>
            <w:tcW w:w="4821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709" w:leader="none"/>
                <w:tab w:val="left" w:pos="851" w:leader="none"/>
              </w:tabs>
              <w:ind w:firstLine="0" w:left="36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Параметр</w:t>
            </w:r>
          </w:p>
        </w:tc>
        <w:tc>
          <w:tcPr>
            <w:tcW w:w="4535" w:type="dxa"/>
            <w:gridSpan w:val="5"/>
            <w:tcBorders>
              <w:top w:val="single" w:sz="1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12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709" w:leader="none"/>
                <w:tab w:val="left" w:pos="851" w:leader="none"/>
              </w:tabs>
              <w:ind w:firstLine="142" w:left="3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Значение</w:t>
            </w:r>
          </w:p>
        </w:tc>
      </w:tr>
      <w:tr>
        <w:trPr>
          <w:trHeight w:hRule="atLeast" w:val="857"/>
        </w:trPr>
        <w:tc>
          <w:tcPr>
            <w:tcW w:w="4821" w:type="dxa"/>
            <w:tcBorders>
              <w:top w:val="single" w:sz="4" w:space="0" w:shadow="0" w:frame="0" w:color="000000"/>
              <w:left w:val="single" w:sz="12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firstLine="0" w:left="36" w:righ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Плотность водного раствора NaCl, г/см</w:t>
            </w:r>
            <w:r>
              <w:rPr>
                <w:rFonts w:ascii="Calibri" w:hAnsi="Calibri"/>
                <w:sz w:val="24"/>
                <w:vertAlign w:val="superscript"/>
              </w:rPr>
              <w:t>3</w:t>
            </w:r>
            <w:r>
              <w:rPr>
                <w:rFonts w:ascii="Calibri" w:hAnsi="Calibri"/>
                <w:sz w:val="24"/>
              </w:rPr>
              <w:t>, (концентрация, г/л)</w:t>
            </w:r>
          </w:p>
        </w:tc>
        <w:tc>
          <w:tcPr>
            <w:tcW w:w="99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0,998</w:t>
            </w:r>
          </w:p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(0,35)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1,016</w:t>
            </w:r>
          </w:p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(30)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1,05</w:t>
            </w:r>
          </w:p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(76)</w:t>
            </w: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1,1</w:t>
            </w:r>
          </w:p>
          <w:p>
            <w:pPr>
              <w:tabs>
                <w:tab w:val="left" w:pos="709" w:leader="none"/>
                <w:tab w:val="left" w:pos="851" w:leader="none"/>
              </w:tabs>
              <w:ind w:hanging="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(152,5)</w:t>
            </w:r>
          </w:p>
        </w:tc>
        <w:tc>
          <w:tcPr>
            <w:tcW w:w="8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12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1,2</w:t>
            </w:r>
          </w:p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(315)</w:t>
            </w:r>
          </w:p>
        </w:tc>
      </w:tr>
      <w:tr>
        <w:trPr>
          <w:trHeight w:hRule="atLeast" w:val="557"/>
        </w:trPr>
        <w:tc>
          <w:tcPr>
            <w:tcW w:w="4821" w:type="dxa"/>
            <w:tcBorders>
              <w:top w:val="single" w:sz="4" w:space="0" w:shadow="0" w:frame="0" w:color="000000"/>
              <w:left w:val="single" w:sz="12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firstLine="0" w:left="36" w:righ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Температура водного раствора NaCl, К (˚С)</w:t>
            </w:r>
          </w:p>
        </w:tc>
        <w:tc>
          <w:tcPr>
            <w:tcW w:w="99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273 - 373</w:t>
            </w:r>
          </w:p>
          <w:p>
            <w:pPr>
              <w:tabs>
                <w:tab w:val="left" w:pos="709" w:leader="none"/>
                <w:tab w:val="left" w:pos="851" w:leader="none"/>
              </w:tabs>
              <w:ind w:hanging="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(0 – 100)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333 </w:t>
            </w:r>
          </w:p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(60)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368 </w:t>
            </w:r>
          </w:p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(95)</w:t>
            </w: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285</w:t>
            </w:r>
          </w:p>
          <w:p>
            <w:pPr>
              <w:tabs>
                <w:tab w:val="left" w:pos="709" w:leader="none"/>
                <w:tab w:val="left" w:pos="851" w:leader="none"/>
              </w:tabs>
              <w:ind w:hanging="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(12)</w:t>
            </w:r>
          </w:p>
        </w:tc>
        <w:tc>
          <w:tcPr>
            <w:tcW w:w="8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12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285</w:t>
            </w:r>
          </w:p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(12)</w:t>
            </w:r>
          </w:p>
        </w:tc>
      </w:tr>
      <w:tr>
        <w:trPr>
          <w:trHeight w:hRule="atLeast" w:val="557"/>
        </w:trPr>
        <w:tc>
          <w:tcPr>
            <w:tcW w:w="4821" w:type="dxa"/>
            <w:tcBorders>
              <w:top w:val="single" w:sz="4" w:space="0" w:shadow="0" w:frame="0" w:color="000000"/>
              <w:left w:val="single" w:sz="12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firstLine="0" w:left="36" w:righ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Расчетное время нахождения муфты в скважинных условиях до проведения ГРП, сут.*</w:t>
            </w:r>
          </w:p>
        </w:tc>
        <w:tc>
          <w:tcPr>
            <w:tcW w:w="99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firstLine="142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12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</w:t>
            </w:r>
          </w:p>
        </w:tc>
      </w:tr>
      <w:tr>
        <w:tc>
          <w:tcPr>
            <w:tcW w:w="4821" w:type="dxa"/>
            <w:tcBorders>
              <w:top w:val="single" w:sz="4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1"/>
              <w:tabs>
                <w:tab w:val="left" w:pos="709" w:leader="none"/>
                <w:tab w:val="left" w:pos="851" w:leader="none"/>
              </w:tabs>
              <w:spacing w:after="0"/>
              <w:ind w:firstLine="0" w:left="36" w:righ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Расчетное время полного растворения седла, сут.</w:t>
            </w:r>
          </w:p>
        </w:tc>
        <w:tc>
          <w:tcPr>
            <w:tcW w:w="99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hanging="2" w:left="36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1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74</w:t>
            </w: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1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  <w:tab w:val="left" w:pos="851" w:leader="none"/>
              </w:tabs>
              <w:ind w:firstLine="0" w:left="-108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</w:t>
            </w:r>
          </w:p>
        </w:tc>
        <w:tc>
          <w:tcPr>
            <w:tcW w:w="8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2" w:leader="none"/>
                <w:tab w:val="left" w:pos="883" w:leader="none"/>
              </w:tabs>
              <w:ind w:hanging="3" w:left="-109" w:right="-10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84</w:t>
            </w:r>
          </w:p>
        </w:tc>
      </w:tr>
    </w:tbl>
    <w:p>
      <w:r>
        <w:rPr>
          <w:sz w:val="20"/>
        </w:rPr>
        <w:t>* В расчетном времени нахождения муфты в скважинных условиях, учитывается растворение слоя материала по поверхности посадочного места седла, с последующим обеспечением посадки шара в седло и проведением ГРП.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List Paragraph"/>
    <w:basedOn w:val="P0"/>
    <w:pPr>
      <w:spacing w:after="200"/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/>
      <w:ind w:firstLine="284" w:left="1134" w:right="284"/>
      <w:jc w:val="both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