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4ABDD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Borders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Параметр</w:t>
            </w:r>
          </w:p>
        </w:tc>
        <w:tc>
          <w:tcPr>
            <w:tcW w:w="8100" w:type="dxa"/>
            <w:gridSpan w:val="5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Значение</w:t>
            </w: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100.12.00.000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-01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-02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-03</w:t>
            </w:r>
          </w:p>
        </w:tc>
        <w:tc>
          <w:tcPr>
            <w:tcW w:w="1618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</w:rPr>
              <w:t>-04</w:t>
            </w: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Условный диаметр потайной обсадной колонны (хвостовика), мм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102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муфты, наружный, по телу, мм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Максимальный перепад давления на муфте, МПа (кгс/см2)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40,2 (410)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Максимальный темп закачки, м</w:t>
            </w:r>
            <w:r>
              <w:rPr>
                <w:rFonts w:ascii="Calibri" w:hAnsi="Calibri"/>
                <w:color w:val="000000"/>
                <w:sz w:val="24"/>
                <w:shd w:val="clear" w:fill="FFFFFF"/>
                <w:vertAlign w:val="superscript"/>
              </w:rPr>
              <w:t>3</w:t>
            </w: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/мин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4,5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Максимально допустимая нагрузка на растяжение, тонн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68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Масса, кг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Максимальная рабочая температура, К (°С)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373 (100)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муфты, внутренний, мм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Длина муфты, мм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Присоединительная резьба, муфта-ниппель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ОТТМ 102 ТУ 14-161-163-96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Внутренний диаметр, мм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88,9±0,9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Наружный диаметр, мм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115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Длина, мм</w:t>
            </w:r>
          </w:p>
        </w:tc>
        <w:tc>
          <w:tcPr>
            <w:tcW w:w="1618" w:type="dxa"/>
            <w:tcBorders>
              <w:bottom w:val="single" w:sz="4" w:space="0" w:shadow="0" w:frame="0" w:color="000000"/>
            </w:tcBorders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120</w:t>
            </w: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618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rPr>
          <w:gridAfter w:val="0"/>
        </w:trPr>
        <w:tc>
          <w:tcPr>
            <w:tcW w:w="17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Fonts w:ascii="Calibri" w:hAnsi="Calibri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Перепад давления открытия окон, МПа (кгс/см</w:t>
            </w:r>
            <w:r>
              <w:rPr>
                <w:rFonts w:ascii="Calibri" w:hAnsi="Calibri"/>
                <w:color w:val="000000"/>
                <w:sz w:val="24"/>
                <w:shd w:val="clear" w:fill="FFFFFF"/>
                <w:vertAlign w:val="superscript"/>
              </w:rPr>
              <w:t>2</w:t>
            </w: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)</w:t>
            </w: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 xml:space="preserve">: 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12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11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10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9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8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7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6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5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4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3 срезных винтов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 установке 2 срезных винтов</w:t>
            </w:r>
          </w:p>
        </w:tc>
        <w:tc>
          <w:tcPr>
            <w:tcW w:w="16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14,7±1,47 (150±15)</w:t>
            </w:r>
          </w:p>
        </w:tc>
        <w:tc>
          <w:tcPr>
            <w:tcW w:w="1618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19,6±1,47 (200±15)</w:t>
            </w:r>
          </w:p>
        </w:tc>
        <w:tc>
          <w:tcPr>
            <w:tcW w:w="1618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24,5±1,96 (250±20)</w:t>
            </w:r>
          </w:p>
        </w:tc>
        <w:tc>
          <w:tcPr>
            <w:tcW w:w="1618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29,4±1,96 (300±20)</w:t>
            </w:r>
          </w:p>
        </w:tc>
        <w:tc>
          <w:tcPr>
            <w:tcW w:w="1618" w:type="dxa"/>
            <w:tcBorders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34,3±1,96 (350±20)</w:t>
            </w:r>
          </w:p>
        </w:tc>
      </w:tr>
    </w:tbl>
    <w:p>
      <w:r>
        <w:br w:type="page"/>
      </w:r>
    </w:p>
    <w:tbl>
      <w:tblPr>
        <w:tblW w:w="15392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100.15.00.000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100.46.00.000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200.97.00.000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226.19.00.000(-01)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141.19.00.000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147.19.00.000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диаметр, мм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114,30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139,70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146,05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перепад давления на муфте, МПа (кгс/см2)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Перепад давления открытия окон муфты, МПа (кгс/см2):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12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11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10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9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8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7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6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5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4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3 срезных винтов</w:t>
            </w:r>
          </w:p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при установке 2 срезных винтов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49,0±3,4 (500±35)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44,9±3,4 (458±35)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40,9±3,4 (417±35)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36,8±2,5 (375±25)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32,7±2,5 (333±25)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28,5±2,5 (291±25)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24,5±2,5 (250±25)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20,4±2,5 (208±25)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16,8±2,0 (167±20)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12,3±2,0 (125±20)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8,1±2,0 (83±20)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39,2±2,9 (400±30)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34,3±2,9 (350±30)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29,4±2,9 (300±30)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24,5±2,5 (250±25)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19,6±2,0 (200±20)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14,7±2,0 (150±20)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50,0±3,0 (510±31)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45,0±3,0 (459±31)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40,0±3,0 (408±31)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35,0±3,0 (357±31)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30,0±3,0 (306±31)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25,0±2,5 (255±25)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20,0±2,0 (204±20)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15,0±2,0 (153±20)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39,2±2,9 (400±30)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34,3±2,9 (350±30)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29,4±2,9 (300±30)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24,5±2,5 (250±25)</w:t>
            </w:r>
          </w:p>
          <w:p>
            <w:pPr>
              <w:spacing w:after="160"/>
              <w:jc w:val="center"/>
              <w:rPr>
                <w:sz w:val="24"/>
              </w:rPr>
            </w:pPr>
            <w:r>
              <w:rPr>
                <w:sz w:val="24"/>
              </w:rPr>
              <w:t>19,6±2,0 (200±20)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14,7±2,0 (150±20)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35,0±3,0 (357±31)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30,0±3,0 (306±31)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25,0±2,5 (255±25)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20,0±2,0 (204±20)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15,0±2,0 (153±20)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39,2±2,9 (400±30)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34,3±2,9 (350±30)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29,4±2,9 (300±30)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24,5±2,5 (250±25)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19,6±2,0 (200±20)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14,7±2,0 (150±20)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Размеры окна, мм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16х67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20х60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24х50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34х48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30х55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Эквивалентный диаметр одного циркуляционного отверстия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муфты, мм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Количество окон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Общая площадь окон муфты, мм2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9153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6680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7500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8600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12400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13100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темп закачки, м3/мин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Возможность повторного закрытия/открытия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Усилие на втулку закрывающую, кН (кгс):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Открыто – Закрыто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Закрыто – Открыто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2,94 до 7,85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(от 300 до 800)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2,94 до 7,85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(от 300 до 800)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9,81 до 14,71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(от 1000 до 1500)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2,94 до 7,85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(от 300 до 800)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2,94 до 7,85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(от 300 до 800)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 2,94 до 7,85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(от 300 до 800)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допускаемое усилие на втулку закрывающую, кН (тс)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 (5,1)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 (10,2)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 (5,1)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 (10,2)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 (10,2)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48.9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68,1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1133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1154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1314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1080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1117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8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84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</w:tr>
    </w:tbl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