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96ED0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6397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ЗНТ 113.00.00.000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ЗНТ 135.00.00.000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хвостовика,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102, 114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140, 146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наружный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Проходной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1524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1½ REG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НКТ 73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Давление активации сухарей,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4,0-6,0 (41-61)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2,0-6,0 (21-61)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Расход рабочей жидкости для активирования системы рычагов, л/сек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 – 10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 – 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осевое усилие управления муфтой ГРП (ГРПВ), не более, кН (тс)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 (4,0)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растягивающее усилие, прикладываемое к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инструменту, не более, кН (тс)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196 (20,0)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196 (20,0)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</w:tbl>
    <w:p/>
    <w:p>
      <w:pPr>
        <w:rPr>
          <w:b w:val="1"/>
          <w:sz w:val="24"/>
        </w:rPr>
      </w:pPr>
      <w:r>
        <w:rPr>
          <w:b w:val="1"/>
          <w:sz w:val="24"/>
        </w:rPr>
        <w:t>Инструмент переключающий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